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0D6D" w14:textId="4D533B53" w:rsidR="00723570" w:rsidRPr="00991F8E" w:rsidRDefault="0068036B" w:rsidP="00723570">
      <w:pPr>
        <w:pStyle w:val="NormalWeb"/>
        <w:spacing w:before="264" w:beforeAutospacing="0" w:after="264" w:afterAutospacing="0"/>
        <w:rPr>
          <w:b/>
          <w:bCs/>
          <w:color w:val="252525"/>
          <w:sz w:val="28"/>
          <w:szCs w:val="28"/>
        </w:rPr>
      </w:pPr>
      <w:r>
        <w:t xml:space="preserve"> </w:t>
      </w:r>
    </w:p>
    <w:p w14:paraId="6036DEB1" w14:textId="0A4AB8B4" w:rsidR="00E251A9" w:rsidRPr="008B5F52" w:rsidRDefault="00E251A9" w:rsidP="00E251A9">
      <w:pPr>
        <w:pStyle w:val="NormalWeb"/>
        <w:spacing w:line="270" w:lineRule="atLeast"/>
        <w:rPr>
          <w:caps/>
          <w:color w:val="005DA2"/>
          <w:sz w:val="21"/>
          <w:szCs w:val="21"/>
        </w:rPr>
      </w:pPr>
    </w:p>
    <w:p w14:paraId="2B9CDC86" w14:textId="77777777" w:rsidR="00172659" w:rsidRPr="00991F8E" w:rsidRDefault="00172659" w:rsidP="009A5F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</w:pPr>
    </w:p>
    <w:p w14:paraId="78C16835" w14:textId="1117FDD7" w:rsidR="00DE22E7" w:rsidRPr="00991F8E" w:rsidRDefault="00DE22E7" w:rsidP="009A5F0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1F8E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Abstract: </w:t>
      </w:r>
      <w:r w:rsidR="00991F8E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 </w:t>
      </w:r>
      <w:r w:rsidR="009E5EAA" w:rsidRPr="00991F8E">
        <w:rPr>
          <w:rFonts w:ascii="Times New Roman" w:eastAsia="Times New Roman" w:hAnsi="Times New Roman" w:cs="Times New Roman"/>
          <w:color w:val="000000"/>
          <w:sz w:val="24"/>
          <w:szCs w:val="24"/>
        </w:rPr>
        <w:t>The sale of business or trade property</w:t>
      </w:r>
      <w:r w:rsidR="00351CEB" w:rsidRPr="0099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be subject to many rules</w:t>
      </w:r>
      <w:r w:rsidR="00981271" w:rsidRPr="00991F8E">
        <w:rPr>
          <w:rFonts w:ascii="Times New Roman" w:eastAsia="Times New Roman" w:hAnsi="Times New Roman" w:cs="Times New Roman"/>
          <w:color w:val="000000"/>
          <w:sz w:val="24"/>
          <w:szCs w:val="24"/>
        </w:rPr>
        <w:t>, depending on the details.</w:t>
      </w:r>
      <w:r w:rsidR="0048764D" w:rsidRPr="0099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3F56" w:rsidRPr="00991F8E">
        <w:rPr>
          <w:rFonts w:ascii="Times New Roman" w:eastAsia="Times New Roman" w:hAnsi="Times New Roman" w:cs="Times New Roman"/>
          <w:color w:val="000000"/>
          <w:sz w:val="24"/>
          <w:szCs w:val="24"/>
        </w:rPr>
        <w:t>Factors that affect the taxability of the sale include the type of property, the primary use and how long the property was held. This article gives a rundown of</w:t>
      </w:r>
      <w:r w:rsidR="002010E1" w:rsidRPr="00991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rules. </w:t>
      </w:r>
    </w:p>
    <w:p w14:paraId="3B2EBCC6" w14:textId="77777777" w:rsidR="00DE22E7" w:rsidRPr="00991F8E" w:rsidRDefault="00DE22E7" w:rsidP="009A5F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</w:pPr>
    </w:p>
    <w:p w14:paraId="6C049048" w14:textId="2364F49D" w:rsidR="002B73AC" w:rsidRPr="008B5F52" w:rsidRDefault="00DE22E7" w:rsidP="005D2288">
      <w:pPr>
        <w:spacing w:after="0" w:line="240" w:lineRule="auto"/>
        <w:outlineLvl w:val="2"/>
        <w:rPr>
          <w:rFonts w:ascii="Times New Roman" w:hAnsi="Times New Roman" w:cs="Times New Roman"/>
          <w:color w:val="252525"/>
          <w:sz w:val="28"/>
          <w:szCs w:val="28"/>
        </w:rPr>
      </w:pPr>
      <w:r w:rsidRPr="008B5F52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Selling trade or business property? Know the tax effects </w:t>
      </w:r>
    </w:p>
    <w:p w14:paraId="06201D5C" w14:textId="264CBACC" w:rsidR="002B73AC" w:rsidRPr="00991F8E" w:rsidRDefault="00057970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>M</w:t>
      </w:r>
      <w:r w:rsidR="002B73AC" w:rsidRPr="00991F8E">
        <w:rPr>
          <w:color w:val="252525"/>
        </w:rPr>
        <w:t>any rules can potentially apply to the sale of business property</w:t>
      </w:r>
      <w:r w:rsidRPr="00991F8E">
        <w:rPr>
          <w:color w:val="252525"/>
        </w:rPr>
        <w:t xml:space="preserve">, but what are the tax consequences? </w:t>
      </w:r>
      <w:r w:rsidR="00E50362" w:rsidRPr="00991F8E">
        <w:rPr>
          <w:color w:val="252525"/>
        </w:rPr>
        <w:t xml:space="preserve">For simplicity, let’s assume </w:t>
      </w:r>
      <w:r w:rsidR="002B73AC" w:rsidRPr="00991F8E">
        <w:rPr>
          <w:color w:val="252525"/>
        </w:rPr>
        <w:t xml:space="preserve">that the property you want to sell is </w:t>
      </w:r>
      <w:r w:rsidR="00E13BB1" w:rsidRPr="00991F8E">
        <w:rPr>
          <w:color w:val="252525"/>
        </w:rPr>
        <w:t>de</w:t>
      </w:r>
      <w:r w:rsidR="002B73AC" w:rsidRPr="00991F8E">
        <w:rPr>
          <w:color w:val="252525"/>
        </w:rPr>
        <w:t>preciable property used in your business</w:t>
      </w:r>
      <w:r w:rsidR="005B431C" w:rsidRPr="00991F8E">
        <w:rPr>
          <w:color w:val="252525"/>
        </w:rPr>
        <w:t xml:space="preserve"> </w:t>
      </w:r>
      <w:r w:rsidR="00935319" w:rsidRPr="00991F8E">
        <w:rPr>
          <w:color w:val="252525"/>
        </w:rPr>
        <w:t xml:space="preserve">and </w:t>
      </w:r>
      <w:r w:rsidR="005B431C" w:rsidRPr="00991F8E">
        <w:rPr>
          <w:color w:val="252525"/>
        </w:rPr>
        <w:t xml:space="preserve">you’ve held </w:t>
      </w:r>
      <w:r w:rsidR="00B26311">
        <w:rPr>
          <w:color w:val="252525"/>
        </w:rPr>
        <w:t xml:space="preserve">it </w:t>
      </w:r>
      <w:r w:rsidR="005B431C" w:rsidRPr="00991F8E">
        <w:rPr>
          <w:color w:val="252525"/>
        </w:rPr>
        <w:t>for more than a year.</w:t>
      </w:r>
      <w:r w:rsidR="002B73AC" w:rsidRPr="00991F8E">
        <w:rPr>
          <w:color w:val="252525"/>
        </w:rPr>
        <w:t xml:space="preserve"> </w:t>
      </w:r>
      <w:r w:rsidR="00427754" w:rsidRPr="00991F8E">
        <w:rPr>
          <w:color w:val="252525"/>
        </w:rPr>
        <w:t>(</w:t>
      </w:r>
      <w:r w:rsidR="00C60305" w:rsidRPr="00991F8E">
        <w:rPr>
          <w:color w:val="252525"/>
        </w:rPr>
        <w:t>D</w:t>
      </w:r>
      <w:r w:rsidR="00FC5245" w:rsidRPr="00991F8E">
        <w:rPr>
          <w:color w:val="252525"/>
        </w:rPr>
        <w:t>ifferent rules</w:t>
      </w:r>
      <w:r w:rsidR="00C60305" w:rsidRPr="00991F8E">
        <w:rPr>
          <w:color w:val="252525"/>
        </w:rPr>
        <w:t xml:space="preserve"> apply</w:t>
      </w:r>
      <w:r w:rsidR="00925327" w:rsidRPr="00991F8E">
        <w:rPr>
          <w:color w:val="252525"/>
        </w:rPr>
        <w:t xml:space="preserve"> based on property type</w:t>
      </w:r>
      <w:r w:rsidR="001763D6" w:rsidRPr="00991F8E">
        <w:rPr>
          <w:color w:val="252525"/>
        </w:rPr>
        <w:t xml:space="preserve">, such as </w:t>
      </w:r>
      <w:r w:rsidR="00925327" w:rsidRPr="00991F8E">
        <w:rPr>
          <w:color w:val="252525"/>
        </w:rPr>
        <w:t xml:space="preserve">property held for sale to customers, intellectual property, low-income housing, </w:t>
      </w:r>
      <w:r w:rsidR="00961A39" w:rsidRPr="00991F8E">
        <w:rPr>
          <w:color w:val="252525"/>
        </w:rPr>
        <w:t xml:space="preserve">and </w:t>
      </w:r>
      <w:r w:rsidR="00925327" w:rsidRPr="00991F8E">
        <w:rPr>
          <w:color w:val="252525"/>
        </w:rPr>
        <w:t>fa</w:t>
      </w:r>
      <w:r w:rsidR="001D69FF" w:rsidRPr="00991F8E">
        <w:rPr>
          <w:color w:val="252525"/>
        </w:rPr>
        <w:t>rming or livestock property.)</w:t>
      </w:r>
      <w:r w:rsidR="00C60305" w:rsidRPr="00991F8E">
        <w:rPr>
          <w:color w:val="252525"/>
        </w:rPr>
        <w:t xml:space="preserve"> </w:t>
      </w:r>
      <w:r w:rsidR="00110431" w:rsidRPr="00991F8E">
        <w:rPr>
          <w:color w:val="252525"/>
        </w:rPr>
        <w:t xml:space="preserve"> </w:t>
      </w:r>
    </w:p>
    <w:p w14:paraId="2052C326" w14:textId="013F9F5E" w:rsidR="002B73AC" w:rsidRPr="00991F8E" w:rsidRDefault="002B73A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rStyle w:val="c-doc-para-bold"/>
          <w:b/>
          <w:bCs/>
          <w:color w:val="252525"/>
        </w:rPr>
        <w:t>General rules</w:t>
      </w:r>
    </w:p>
    <w:p w14:paraId="19130800" w14:textId="5CD6E86E" w:rsidR="002B73AC" w:rsidRPr="00991F8E" w:rsidRDefault="002B73A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 xml:space="preserve">Under the Internal Revenue Code, </w:t>
      </w:r>
      <w:bookmarkStart w:id="0" w:name="_Hlk101454598"/>
      <w:r w:rsidRPr="00991F8E">
        <w:rPr>
          <w:color w:val="252525"/>
        </w:rPr>
        <w:t>your gains and losses from sales of business property are netted against each other. The net gain or loss qualifies for tax treatment as follows:</w:t>
      </w:r>
    </w:p>
    <w:p w14:paraId="0A26969C" w14:textId="59D9382C" w:rsidR="002B73AC" w:rsidRPr="00991F8E" w:rsidRDefault="00DC401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 xml:space="preserve">1. </w:t>
      </w:r>
      <w:r w:rsidR="002B73AC" w:rsidRPr="00991F8E">
        <w:rPr>
          <w:color w:val="252525"/>
        </w:rPr>
        <w:t xml:space="preserve">If the netting </w:t>
      </w:r>
      <w:r w:rsidR="00591345" w:rsidRPr="00991F8E">
        <w:rPr>
          <w:color w:val="252525"/>
        </w:rPr>
        <w:t>process</w:t>
      </w:r>
      <w:r w:rsidR="002B73AC" w:rsidRPr="00991F8E">
        <w:rPr>
          <w:color w:val="252525"/>
        </w:rPr>
        <w:t xml:space="preserve"> results in a net gain, then</w:t>
      </w:r>
      <w:r w:rsidR="00427754" w:rsidRPr="00991F8E">
        <w:rPr>
          <w:color w:val="252525"/>
        </w:rPr>
        <w:t xml:space="preserve"> long-term capital gain treatment results,</w:t>
      </w:r>
      <w:r w:rsidR="002B73AC" w:rsidRPr="00991F8E">
        <w:rPr>
          <w:color w:val="252525"/>
        </w:rPr>
        <w:t xml:space="preserve"> subject to “recapture” rules discussed below. </w:t>
      </w:r>
      <w:r w:rsidR="005E5048" w:rsidRPr="00991F8E">
        <w:rPr>
          <w:color w:val="252525"/>
        </w:rPr>
        <w:t>This</w:t>
      </w:r>
      <w:r w:rsidR="002B73AC" w:rsidRPr="00991F8E">
        <w:rPr>
          <w:color w:val="252525"/>
        </w:rPr>
        <w:t xml:space="preserve"> treatment is generally more favorable than ordinary income treatment.</w:t>
      </w:r>
    </w:p>
    <w:p w14:paraId="056C9167" w14:textId="7D4CCD91" w:rsidR="002B73AC" w:rsidRPr="00991F8E" w:rsidRDefault="002B73A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>2</w:t>
      </w:r>
      <w:r w:rsidR="00DC401C" w:rsidRPr="00991F8E">
        <w:rPr>
          <w:color w:val="252525"/>
        </w:rPr>
        <w:t>.</w:t>
      </w:r>
      <w:r w:rsidRPr="00991F8E">
        <w:rPr>
          <w:color w:val="252525"/>
        </w:rPr>
        <w:t xml:space="preserve"> If the netting of gains and losses results in a net loss, that loss is fully deductible against ordinary income (</w:t>
      </w:r>
      <w:r w:rsidR="00B82B18" w:rsidRPr="00991F8E">
        <w:rPr>
          <w:color w:val="252525"/>
        </w:rPr>
        <w:t>so,</w:t>
      </w:r>
      <w:r w:rsidRPr="00991F8E">
        <w:rPr>
          <w:color w:val="252525"/>
        </w:rPr>
        <w:t xml:space="preserve"> none of the rules that limit the deductibility of capital losses apply).</w:t>
      </w:r>
    </w:p>
    <w:bookmarkEnd w:id="0"/>
    <w:p w14:paraId="75C04FC7" w14:textId="3D99241A" w:rsidR="00F37319" w:rsidRPr="00991F8E" w:rsidRDefault="002B73A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rStyle w:val="c-doc-para-bold"/>
          <w:b/>
          <w:bCs/>
          <w:color w:val="252525"/>
        </w:rPr>
        <w:t>Recapture rules</w:t>
      </w:r>
      <w:r w:rsidRPr="00991F8E">
        <w:rPr>
          <w:color w:val="252525"/>
        </w:rPr>
        <w:t> </w:t>
      </w:r>
    </w:p>
    <w:p w14:paraId="3112CEC5" w14:textId="644B067D" w:rsidR="002B73AC" w:rsidRPr="00991F8E" w:rsidRDefault="002B73A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 xml:space="preserve">The availability of long-term capital gain treatment for </w:t>
      </w:r>
      <w:r w:rsidR="009A5F04" w:rsidRPr="00991F8E">
        <w:rPr>
          <w:color w:val="252525"/>
        </w:rPr>
        <w:t>b</w:t>
      </w:r>
      <w:r w:rsidRPr="00991F8E">
        <w:rPr>
          <w:color w:val="252525"/>
        </w:rPr>
        <w:t xml:space="preserve">usiness </w:t>
      </w:r>
      <w:r w:rsidR="009A5F04" w:rsidRPr="00991F8E">
        <w:rPr>
          <w:color w:val="252525"/>
        </w:rPr>
        <w:t>p</w:t>
      </w:r>
      <w:r w:rsidRPr="00991F8E">
        <w:rPr>
          <w:color w:val="252525"/>
        </w:rPr>
        <w:t xml:space="preserve">roperty </w:t>
      </w:r>
      <w:r w:rsidR="009A5F04" w:rsidRPr="00991F8E">
        <w:rPr>
          <w:color w:val="252525"/>
        </w:rPr>
        <w:t>n</w:t>
      </w:r>
      <w:r w:rsidRPr="00991F8E">
        <w:rPr>
          <w:color w:val="252525"/>
        </w:rPr>
        <w:t xml:space="preserve">et </w:t>
      </w:r>
      <w:r w:rsidR="009A5F04" w:rsidRPr="00991F8E">
        <w:rPr>
          <w:color w:val="252525"/>
        </w:rPr>
        <w:t>g</w:t>
      </w:r>
      <w:r w:rsidRPr="00991F8E">
        <w:rPr>
          <w:color w:val="252525"/>
        </w:rPr>
        <w:t>ain is limited by recapture rules</w:t>
      </w:r>
      <w:r w:rsidR="004D7D65" w:rsidRPr="00991F8E">
        <w:rPr>
          <w:color w:val="252525"/>
        </w:rPr>
        <w:t xml:space="preserve">. </w:t>
      </w:r>
      <w:r w:rsidR="00425C82" w:rsidRPr="00991F8E">
        <w:rPr>
          <w:color w:val="252525"/>
        </w:rPr>
        <w:t>R</w:t>
      </w:r>
      <w:r w:rsidR="00B96981" w:rsidRPr="00991F8E">
        <w:rPr>
          <w:color w:val="252525"/>
        </w:rPr>
        <w:t>ecapture rules</w:t>
      </w:r>
      <w:r w:rsidR="00A9083A" w:rsidRPr="00991F8E">
        <w:rPr>
          <w:color w:val="252525"/>
        </w:rPr>
        <w:t xml:space="preserve"> </w:t>
      </w:r>
      <w:r w:rsidR="00425C82" w:rsidRPr="00991F8E">
        <w:rPr>
          <w:color w:val="252525"/>
        </w:rPr>
        <w:t xml:space="preserve">specify that </w:t>
      </w:r>
      <w:r w:rsidRPr="00991F8E">
        <w:rPr>
          <w:color w:val="252525"/>
        </w:rPr>
        <w:t>amounts are treated as ordinary income rather than capital gain because of previous ordinary loss or deduction treatment for these amounts</w:t>
      </w:r>
      <w:r w:rsidR="00D341A7" w:rsidRPr="00991F8E">
        <w:rPr>
          <w:color w:val="252525"/>
        </w:rPr>
        <w:t xml:space="preserve"> (such as depreciation, for example)</w:t>
      </w:r>
      <w:r w:rsidRPr="00991F8E">
        <w:rPr>
          <w:color w:val="252525"/>
        </w:rPr>
        <w:t>.</w:t>
      </w:r>
    </w:p>
    <w:p w14:paraId="399337CE" w14:textId="6F1B960B" w:rsidR="002B73AC" w:rsidRPr="00991F8E" w:rsidRDefault="002B73A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>There</w:t>
      </w:r>
      <w:r w:rsidR="009A5F04" w:rsidRPr="00991F8E">
        <w:rPr>
          <w:color w:val="252525"/>
        </w:rPr>
        <w:t>’</w:t>
      </w:r>
      <w:r w:rsidRPr="00991F8E">
        <w:rPr>
          <w:color w:val="252525"/>
        </w:rPr>
        <w:t xml:space="preserve">s a special recapture rule that applies only to </w:t>
      </w:r>
      <w:r w:rsidR="009A5F04" w:rsidRPr="00991F8E">
        <w:rPr>
          <w:color w:val="252525"/>
        </w:rPr>
        <w:t>b</w:t>
      </w:r>
      <w:r w:rsidRPr="00991F8E">
        <w:rPr>
          <w:color w:val="252525"/>
        </w:rPr>
        <w:t xml:space="preserve">usiness </w:t>
      </w:r>
      <w:r w:rsidR="009A5F04" w:rsidRPr="00991F8E">
        <w:rPr>
          <w:color w:val="252525"/>
        </w:rPr>
        <w:t>p</w:t>
      </w:r>
      <w:r w:rsidRPr="00991F8E">
        <w:rPr>
          <w:color w:val="252525"/>
        </w:rPr>
        <w:t>roperty. Under this rule, to the extent you</w:t>
      </w:r>
      <w:r w:rsidR="009A5F04" w:rsidRPr="00991F8E">
        <w:rPr>
          <w:color w:val="252525"/>
        </w:rPr>
        <w:t>’</w:t>
      </w:r>
      <w:r w:rsidRPr="00991F8E">
        <w:rPr>
          <w:color w:val="252525"/>
        </w:rPr>
        <w:t xml:space="preserve">ve had a </w:t>
      </w:r>
      <w:r w:rsidR="009A5F04" w:rsidRPr="00991F8E">
        <w:rPr>
          <w:color w:val="252525"/>
        </w:rPr>
        <w:t>b</w:t>
      </w:r>
      <w:r w:rsidRPr="00991F8E">
        <w:rPr>
          <w:color w:val="252525"/>
        </w:rPr>
        <w:t xml:space="preserve">usiness </w:t>
      </w:r>
      <w:r w:rsidR="009A5F04" w:rsidRPr="00991F8E">
        <w:rPr>
          <w:color w:val="252525"/>
        </w:rPr>
        <w:t>p</w:t>
      </w:r>
      <w:r w:rsidRPr="00991F8E">
        <w:rPr>
          <w:color w:val="252525"/>
        </w:rPr>
        <w:t xml:space="preserve">roperty </w:t>
      </w:r>
      <w:r w:rsidR="009A5F04" w:rsidRPr="00991F8E">
        <w:rPr>
          <w:color w:val="252525"/>
        </w:rPr>
        <w:t>n</w:t>
      </w:r>
      <w:r w:rsidRPr="00991F8E">
        <w:rPr>
          <w:color w:val="252525"/>
        </w:rPr>
        <w:t xml:space="preserve">et </w:t>
      </w:r>
      <w:r w:rsidR="009A5F04" w:rsidRPr="00991F8E">
        <w:rPr>
          <w:color w:val="252525"/>
        </w:rPr>
        <w:t>l</w:t>
      </w:r>
      <w:r w:rsidRPr="00991F8E">
        <w:rPr>
          <w:color w:val="252525"/>
        </w:rPr>
        <w:t xml:space="preserve">oss within the previous five years, any </w:t>
      </w:r>
      <w:r w:rsidR="009A5F04" w:rsidRPr="00991F8E">
        <w:rPr>
          <w:color w:val="252525"/>
        </w:rPr>
        <w:t>b</w:t>
      </w:r>
      <w:r w:rsidRPr="00991F8E">
        <w:rPr>
          <w:color w:val="252525"/>
        </w:rPr>
        <w:t xml:space="preserve">usiness </w:t>
      </w:r>
      <w:r w:rsidR="009A5F04" w:rsidRPr="00991F8E">
        <w:rPr>
          <w:color w:val="252525"/>
        </w:rPr>
        <w:t>p</w:t>
      </w:r>
      <w:r w:rsidRPr="00991F8E">
        <w:rPr>
          <w:color w:val="252525"/>
        </w:rPr>
        <w:t xml:space="preserve">roperty </w:t>
      </w:r>
      <w:r w:rsidR="009A5F04" w:rsidRPr="00991F8E">
        <w:rPr>
          <w:color w:val="252525"/>
        </w:rPr>
        <w:t>n</w:t>
      </w:r>
      <w:r w:rsidRPr="00991F8E">
        <w:rPr>
          <w:color w:val="252525"/>
        </w:rPr>
        <w:t xml:space="preserve">et </w:t>
      </w:r>
      <w:r w:rsidR="009A5F04" w:rsidRPr="00991F8E">
        <w:rPr>
          <w:color w:val="252525"/>
        </w:rPr>
        <w:t>g</w:t>
      </w:r>
      <w:r w:rsidRPr="00991F8E">
        <w:rPr>
          <w:color w:val="252525"/>
        </w:rPr>
        <w:t>ain is treated as ordinary income</w:t>
      </w:r>
      <w:r w:rsidR="00B407AD" w:rsidRPr="00991F8E">
        <w:rPr>
          <w:color w:val="252525"/>
        </w:rPr>
        <w:t>, not as</w:t>
      </w:r>
      <w:r w:rsidRPr="00991F8E">
        <w:rPr>
          <w:color w:val="252525"/>
        </w:rPr>
        <w:t xml:space="preserve"> long-term capital gain. </w:t>
      </w:r>
    </w:p>
    <w:p w14:paraId="4F20D002" w14:textId="70FC137B" w:rsidR="00427CFE" w:rsidRPr="00991F8E" w:rsidRDefault="001056BF" w:rsidP="002B73AC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991F8E">
        <w:rPr>
          <w:b/>
          <w:bCs/>
          <w:color w:val="252525"/>
        </w:rPr>
        <w:t xml:space="preserve">More </w:t>
      </w:r>
      <w:r w:rsidR="00FA7B83" w:rsidRPr="00991F8E">
        <w:rPr>
          <w:b/>
          <w:bCs/>
          <w:color w:val="252525"/>
        </w:rPr>
        <w:t>tax code details</w:t>
      </w:r>
    </w:p>
    <w:p w14:paraId="0EBF1EE0" w14:textId="2D44E39F" w:rsidR="00FA7B83" w:rsidRPr="00991F8E" w:rsidRDefault="00FA7B83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 xml:space="preserve">Here are some more details about </w:t>
      </w:r>
      <w:r w:rsidR="000831AA" w:rsidRPr="00991F8E">
        <w:rPr>
          <w:color w:val="252525"/>
        </w:rPr>
        <w:t>two types of property</w:t>
      </w:r>
      <w:r w:rsidR="00B26311">
        <w:rPr>
          <w:color w:val="252525"/>
        </w:rPr>
        <w:t>:</w:t>
      </w:r>
    </w:p>
    <w:p w14:paraId="48A6410E" w14:textId="1EF1FF12" w:rsidR="00427CFE" w:rsidRPr="00991F8E" w:rsidRDefault="002B73AC" w:rsidP="002B73AC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991F8E">
        <w:rPr>
          <w:b/>
          <w:bCs/>
          <w:color w:val="252525"/>
        </w:rPr>
        <w:t xml:space="preserve">Section 1245 </w:t>
      </w:r>
      <w:r w:rsidR="00982B24" w:rsidRPr="00991F8E">
        <w:rPr>
          <w:b/>
          <w:bCs/>
          <w:color w:val="252525"/>
        </w:rPr>
        <w:t>p</w:t>
      </w:r>
      <w:r w:rsidRPr="00991F8E">
        <w:rPr>
          <w:b/>
          <w:bCs/>
          <w:color w:val="252525"/>
        </w:rPr>
        <w:t>roperty</w:t>
      </w:r>
      <w:r w:rsidR="00B26311">
        <w:rPr>
          <w:b/>
          <w:bCs/>
          <w:color w:val="252525"/>
        </w:rPr>
        <w:t>.</w:t>
      </w:r>
      <w:r w:rsidRPr="00991F8E">
        <w:rPr>
          <w:color w:val="252525"/>
        </w:rPr>
        <w:t xml:space="preserve"> </w:t>
      </w:r>
      <w:r w:rsidR="00B26311">
        <w:rPr>
          <w:color w:val="252525"/>
        </w:rPr>
        <w:t xml:space="preserve">This </w:t>
      </w:r>
      <w:r w:rsidR="00D4414E" w:rsidRPr="00991F8E">
        <w:rPr>
          <w:color w:val="252525"/>
        </w:rPr>
        <w:t>is</w:t>
      </w:r>
      <w:r w:rsidRPr="00991F8E">
        <w:rPr>
          <w:color w:val="252525"/>
        </w:rPr>
        <w:t xml:space="preserve"> all depreciable personal property, tangible or intangible, and certain depreciable real property (usually, real property</w:t>
      </w:r>
      <w:r w:rsidR="00717907" w:rsidRPr="00991F8E">
        <w:rPr>
          <w:color w:val="252525"/>
        </w:rPr>
        <w:t xml:space="preserve"> with </w:t>
      </w:r>
      <w:r w:rsidRPr="00991F8E">
        <w:rPr>
          <w:color w:val="252525"/>
        </w:rPr>
        <w:t>specific functions). If you sell</w:t>
      </w:r>
      <w:r w:rsidR="00717907" w:rsidRPr="00991F8E">
        <w:rPr>
          <w:color w:val="252525"/>
        </w:rPr>
        <w:t xml:space="preserve"> this </w:t>
      </w:r>
      <w:r w:rsidR="00717907" w:rsidRPr="00991F8E">
        <w:rPr>
          <w:color w:val="252525"/>
        </w:rPr>
        <w:lastRenderedPageBreak/>
        <w:t>property</w:t>
      </w:r>
      <w:r w:rsidR="00B61EEA" w:rsidRPr="00991F8E">
        <w:rPr>
          <w:color w:val="252525"/>
        </w:rPr>
        <w:t xml:space="preserve">, </w:t>
      </w:r>
      <w:r w:rsidRPr="00991F8E">
        <w:rPr>
          <w:color w:val="252525"/>
        </w:rPr>
        <w:t xml:space="preserve">you must recapture your gain as ordinary income to the extent of your earlier depreciation deductions on the asset. </w:t>
      </w:r>
      <w:r w:rsidR="006051F6" w:rsidRPr="00991F8E">
        <w:rPr>
          <w:rStyle w:val="c-doc-para-italic"/>
          <w:b/>
          <w:bCs/>
          <w:color w:val="252525"/>
        </w:rPr>
        <w:t xml:space="preserve"> </w:t>
      </w:r>
    </w:p>
    <w:p w14:paraId="5F256801" w14:textId="288ACAE4" w:rsidR="00D37DB9" w:rsidRPr="00991F8E" w:rsidRDefault="002B73AC" w:rsidP="002B73A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b/>
          <w:bCs/>
          <w:color w:val="252525"/>
        </w:rPr>
        <w:t xml:space="preserve">Section 1250 </w:t>
      </w:r>
      <w:r w:rsidR="00982B24" w:rsidRPr="00991F8E">
        <w:rPr>
          <w:b/>
          <w:bCs/>
          <w:color w:val="252525"/>
        </w:rPr>
        <w:t>p</w:t>
      </w:r>
      <w:r w:rsidRPr="00991F8E">
        <w:rPr>
          <w:b/>
          <w:bCs/>
          <w:color w:val="252525"/>
        </w:rPr>
        <w:t>roperty</w:t>
      </w:r>
      <w:r w:rsidR="00A57AD0">
        <w:rPr>
          <w:b/>
          <w:bCs/>
          <w:color w:val="252525"/>
        </w:rPr>
        <w:t xml:space="preserve">. </w:t>
      </w:r>
      <w:r w:rsidR="00A57AD0" w:rsidRPr="008B5F52">
        <w:rPr>
          <w:color w:val="252525"/>
        </w:rPr>
        <w:t>This type of property</w:t>
      </w:r>
      <w:r w:rsidRPr="00991F8E">
        <w:rPr>
          <w:color w:val="252525"/>
        </w:rPr>
        <w:t xml:space="preserve"> generall</w:t>
      </w:r>
      <w:r w:rsidR="00E379CF" w:rsidRPr="00991F8E">
        <w:rPr>
          <w:color w:val="252525"/>
        </w:rPr>
        <w:t xml:space="preserve">y </w:t>
      </w:r>
      <w:r w:rsidR="00A57AD0">
        <w:rPr>
          <w:color w:val="252525"/>
        </w:rPr>
        <w:t>includes</w:t>
      </w:r>
      <w:r w:rsidRPr="00991F8E">
        <w:rPr>
          <w:color w:val="252525"/>
        </w:rPr>
        <w:t xml:space="preserve"> buildings and their structural components.</w:t>
      </w:r>
      <w:r w:rsidR="00427CFE" w:rsidRPr="00991F8E">
        <w:rPr>
          <w:color w:val="252525"/>
        </w:rPr>
        <w:t xml:space="preserve"> </w:t>
      </w:r>
      <w:r w:rsidRPr="00991F8E">
        <w:rPr>
          <w:color w:val="252525"/>
        </w:rPr>
        <w:t xml:space="preserve">If you sell </w:t>
      </w:r>
      <w:r w:rsidR="00C1065F" w:rsidRPr="00991F8E">
        <w:rPr>
          <w:color w:val="252525"/>
        </w:rPr>
        <w:t xml:space="preserve">such </w:t>
      </w:r>
      <w:r w:rsidR="00B63121" w:rsidRPr="00991F8E">
        <w:rPr>
          <w:color w:val="252525"/>
        </w:rPr>
        <w:t>pr</w:t>
      </w:r>
      <w:r w:rsidR="001D5705" w:rsidRPr="00991F8E">
        <w:rPr>
          <w:color w:val="252525"/>
        </w:rPr>
        <w:t>o</w:t>
      </w:r>
      <w:r w:rsidR="00B63121" w:rsidRPr="00991F8E">
        <w:rPr>
          <w:color w:val="252525"/>
        </w:rPr>
        <w:t xml:space="preserve">perty </w:t>
      </w:r>
      <w:r w:rsidR="00C1065F" w:rsidRPr="00991F8E">
        <w:rPr>
          <w:color w:val="252525"/>
        </w:rPr>
        <w:t>that was</w:t>
      </w:r>
      <w:r w:rsidRPr="00991F8E">
        <w:rPr>
          <w:color w:val="252525"/>
        </w:rPr>
        <w:t xml:space="preserve"> placed in service after 1986, none of the long-term capital gain attributable to depreciation deductions will be subject to depreciation recapture. </w:t>
      </w:r>
      <w:r w:rsidR="00D37DB9" w:rsidRPr="00991F8E">
        <w:rPr>
          <w:color w:val="252525"/>
        </w:rPr>
        <w:t xml:space="preserve"> (Additional rules apply for Section 1250 property placed in service before 1987.)</w:t>
      </w:r>
    </w:p>
    <w:p w14:paraId="511AAC69" w14:textId="6F966371" w:rsidR="002B73AC" w:rsidRPr="00991F8E" w:rsidRDefault="00C90547" w:rsidP="00D37DB9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>However, f</w:t>
      </w:r>
      <w:r w:rsidR="002B73AC" w:rsidRPr="00991F8E">
        <w:rPr>
          <w:color w:val="252525"/>
        </w:rPr>
        <w:t>or most noncorporate taxpayers, the gain attributable to depreciation deductions</w:t>
      </w:r>
      <w:r w:rsidR="006D7C7D" w:rsidRPr="00991F8E">
        <w:rPr>
          <w:color w:val="252525"/>
        </w:rPr>
        <w:t xml:space="preserve"> up to the amount of the </w:t>
      </w:r>
      <w:r w:rsidR="00CD44B8" w:rsidRPr="00991F8E">
        <w:rPr>
          <w:color w:val="252525"/>
        </w:rPr>
        <w:t>business property net gain</w:t>
      </w:r>
      <w:r w:rsidR="00C0548F" w:rsidRPr="00991F8E">
        <w:rPr>
          <w:color w:val="252525"/>
        </w:rPr>
        <w:t xml:space="preserve"> </w:t>
      </w:r>
      <w:r w:rsidR="002B73AC" w:rsidRPr="00991F8E">
        <w:rPr>
          <w:color w:val="252525"/>
        </w:rPr>
        <w:t xml:space="preserve">will be taxed at no </w:t>
      </w:r>
      <w:r w:rsidR="00311FF0" w:rsidRPr="00991F8E">
        <w:rPr>
          <w:color w:val="252525"/>
        </w:rPr>
        <w:t>higher</w:t>
      </w:r>
      <w:r w:rsidR="002B73AC" w:rsidRPr="00991F8E">
        <w:rPr>
          <w:color w:val="252525"/>
        </w:rPr>
        <w:t xml:space="preserve"> than 28.8%</w:t>
      </w:r>
      <w:r w:rsidR="00D31611" w:rsidRPr="00991F8E">
        <w:rPr>
          <w:color w:val="252525"/>
        </w:rPr>
        <w:t xml:space="preserve"> (as reduced by the business property recapture rule above).</w:t>
      </w:r>
      <w:r w:rsidR="00CD06C0" w:rsidRPr="00991F8E">
        <w:rPr>
          <w:color w:val="252525"/>
        </w:rPr>
        <w:t xml:space="preserve"> </w:t>
      </w:r>
      <w:r w:rsidR="00C63AC6" w:rsidRPr="00991F8E">
        <w:rPr>
          <w:color w:val="252525"/>
        </w:rPr>
        <w:t xml:space="preserve">That’s </w:t>
      </w:r>
      <w:r w:rsidR="002B73AC" w:rsidRPr="00991F8E">
        <w:rPr>
          <w:color w:val="252525"/>
        </w:rPr>
        <w:t>25% adjusted for the 3.8% net investment income tax</w:t>
      </w:r>
      <w:r w:rsidR="00C63AC6" w:rsidRPr="00991F8E">
        <w:rPr>
          <w:color w:val="252525"/>
        </w:rPr>
        <w:t>,</w:t>
      </w:r>
      <w:r w:rsidR="002B73AC" w:rsidRPr="00991F8E">
        <w:rPr>
          <w:color w:val="252525"/>
        </w:rPr>
        <w:t xml:space="preserve"> rather than the </w:t>
      </w:r>
      <w:r w:rsidR="00427CFE" w:rsidRPr="00991F8E">
        <w:rPr>
          <w:color w:val="252525"/>
        </w:rPr>
        <w:t xml:space="preserve">maximum </w:t>
      </w:r>
      <w:r w:rsidR="002B73AC" w:rsidRPr="00991F8E">
        <w:rPr>
          <w:color w:val="252525"/>
        </w:rPr>
        <w:t>23.8% rate (20% adjusted for the 3.8% net investment income tax) that generally applies to long-term capital gains of noncorporate taxpayers.</w:t>
      </w:r>
      <w:r w:rsidR="00D37DB9" w:rsidRPr="00991F8E">
        <w:rPr>
          <w:color w:val="252525"/>
        </w:rPr>
        <w:t xml:space="preserve"> </w:t>
      </w:r>
    </w:p>
    <w:p w14:paraId="3AF08586" w14:textId="0BD02484" w:rsidR="003E583E" w:rsidRPr="00991F8E" w:rsidRDefault="003E583E" w:rsidP="002B73AC">
      <w:pPr>
        <w:pStyle w:val="NormalWeb"/>
        <w:spacing w:before="264" w:beforeAutospacing="0" w:after="264" w:afterAutospacing="0"/>
        <w:rPr>
          <w:b/>
          <w:bCs/>
          <w:color w:val="252525"/>
        </w:rPr>
      </w:pPr>
      <w:r w:rsidRPr="00991F8E">
        <w:rPr>
          <w:b/>
          <w:bCs/>
          <w:color w:val="252525"/>
        </w:rPr>
        <w:t>Proceed with caution</w:t>
      </w:r>
    </w:p>
    <w:p w14:paraId="3FF10D38" w14:textId="21286369" w:rsidR="008A312D" w:rsidRPr="00991F8E" w:rsidRDefault="002B73AC" w:rsidP="00E5064C">
      <w:pPr>
        <w:pStyle w:val="NormalWeb"/>
        <w:spacing w:before="264" w:beforeAutospacing="0" w:after="264" w:afterAutospacing="0"/>
        <w:rPr>
          <w:color w:val="252525"/>
        </w:rPr>
      </w:pPr>
      <w:r w:rsidRPr="00991F8E">
        <w:rPr>
          <w:color w:val="252525"/>
        </w:rPr>
        <w:t xml:space="preserve">As you can see, </w:t>
      </w:r>
      <w:bookmarkStart w:id="1" w:name="_Hlk101456329"/>
      <w:r w:rsidRPr="00991F8E">
        <w:rPr>
          <w:color w:val="252525"/>
        </w:rPr>
        <w:t xml:space="preserve">the tax treatment of the sale of business assets can be complex. </w:t>
      </w:r>
      <w:bookmarkEnd w:id="1"/>
      <w:r w:rsidR="009A5F04" w:rsidRPr="00991F8E">
        <w:rPr>
          <w:color w:val="252525"/>
        </w:rPr>
        <w:t>Contact us</w:t>
      </w:r>
      <w:r w:rsidRPr="00991F8E">
        <w:rPr>
          <w:color w:val="252525"/>
        </w:rPr>
        <w:t xml:space="preserve"> </w:t>
      </w:r>
      <w:r w:rsidR="0068036F" w:rsidRPr="00991F8E">
        <w:rPr>
          <w:color w:val="252525"/>
        </w:rPr>
        <w:t>for help with specific tran</w:t>
      </w:r>
      <w:r w:rsidR="00E5064C" w:rsidRPr="00991F8E">
        <w:rPr>
          <w:color w:val="252525"/>
        </w:rPr>
        <w:t xml:space="preserve">sactions or additional questions.  </w:t>
      </w:r>
    </w:p>
    <w:p w14:paraId="3E072565" w14:textId="77777777" w:rsidR="0068036B" w:rsidRPr="00554775" w:rsidRDefault="0068036B" w:rsidP="0068036B">
      <w:pPr>
        <w:tabs>
          <w:tab w:val="center" w:pos="4680"/>
        </w:tabs>
        <w:spacing w:before="240" w:after="240" w:line="240" w:lineRule="auto"/>
        <w:rPr>
          <w:rFonts w:ascii="Palatino" w:eastAsia="Times New Roman" w:hAnsi="Palatino" w:cs="Palatino"/>
          <w:sz w:val="24"/>
          <w:szCs w:val="24"/>
        </w:rPr>
      </w:pPr>
      <w:r>
        <w:rPr>
          <w:rStyle w:val="Emphasis"/>
        </w:rPr>
        <w:t xml:space="preserve"> </w:t>
      </w:r>
      <w:r>
        <w:t xml:space="preserve"> </w:t>
      </w:r>
      <w:r w:rsidRPr="0055477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© </w:t>
      </w:r>
      <w:r w:rsidRPr="00554775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2022</w:t>
      </w:r>
    </w:p>
    <w:p w14:paraId="46D533A2" w14:textId="6DE89624" w:rsidR="00B41D3D" w:rsidRPr="00991F8E" w:rsidRDefault="00B41D3D" w:rsidP="00E5064C">
      <w:pPr>
        <w:pStyle w:val="NormalWeb"/>
        <w:spacing w:before="264" w:beforeAutospacing="0" w:after="264" w:afterAutospacing="0"/>
        <w:rPr>
          <w:color w:val="252525"/>
        </w:rPr>
      </w:pPr>
    </w:p>
    <w:p w14:paraId="0ED4E42F" w14:textId="39F676C5" w:rsidR="00B41D3D" w:rsidRPr="00991F8E" w:rsidRDefault="00B41D3D" w:rsidP="00D4175D">
      <w:pPr>
        <w:pStyle w:val="NormalWeb"/>
        <w:spacing w:before="264" w:beforeAutospacing="0" w:after="264" w:afterAutospacing="0"/>
        <w:rPr>
          <w:color w:val="252525"/>
        </w:rPr>
      </w:pPr>
    </w:p>
    <w:sectPr w:rsidR="00B41D3D" w:rsidRPr="0099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5B97"/>
    <w:multiLevelType w:val="multilevel"/>
    <w:tmpl w:val="0374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D07D6"/>
    <w:multiLevelType w:val="multilevel"/>
    <w:tmpl w:val="774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41721"/>
    <w:multiLevelType w:val="hybridMultilevel"/>
    <w:tmpl w:val="E1C2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85702">
    <w:abstractNumId w:val="1"/>
  </w:num>
  <w:num w:numId="2" w16cid:durableId="1009453647">
    <w:abstractNumId w:val="0"/>
  </w:num>
  <w:num w:numId="3" w16cid:durableId="6660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7"/>
    <w:rsid w:val="0000044E"/>
    <w:rsid w:val="00004BEA"/>
    <w:rsid w:val="00004FA7"/>
    <w:rsid w:val="000316B8"/>
    <w:rsid w:val="000357A4"/>
    <w:rsid w:val="00057970"/>
    <w:rsid w:val="000779B5"/>
    <w:rsid w:val="000831AA"/>
    <w:rsid w:val="000B11CB"/>
    <w:rsid w:val="000B52F2"/>
    <w:rsid w:val="000C5AEF"/>
    <w:rsid w:val="000E2EC4"/>
    <w:rsid w:val="000F5A30"/>
    <w:rsid w:val="001056BF"/>
    <w:rsid w:val="00110431"/>
    <w:rsid w:val="00111DE5"/>
    <w:rsid w:val="00135C52"/>
    <w:rsid w:val="001639E8"/>
    <w:rsid w:val="00172659"/>
    <w:rsid w:val="001763D6"/>
    <w:rsid w:val="00180C0F"/>
    <w:rsid w:val="001C0E23"/>
    <w:rsid w:val="001C2D2D"/>
    <w:rsid w:val="001D5705"/>
    <w:rsid w:val="001D69FF"/>
    <w:rsid w:val="002010E1"/>
    <w:rsid w:val="002070D6"/>
    <w:rsid w:val="00286BED"/>
    <w:rsid w:val="002B73AC"/>
    <w:rsid w:val="002E28F5"/>
    <w:rsid w:val="002F2F0D"/>
    <w:rsid w:val="00301E93"/>
    <w:rsid w:val="00311FF0"/>
    <w:rsid w:val="00334077"/>
    <w:rsid w:val="00351CEB"/>
    <w:rsid w:val="00354BA2"/>
    <w:rsid w:val="00356038"/>
    <w:rsid w:val="003E583E"/>
    <w:rsid w:val="00411A14"/>
    <w:rsid w:val="00425C82"/>
    <w:rsid w:val="00427754"/>
    <w:rsid w:val="00427CFE"/>
    <w:rsid w:val="00437B3F"/>
    <w:rsid w:val="00446F37"/>
    <w:rsid w:val="004709B6"/>
    <w:rsid w:val="0048764D"/>
    <w:rsid w:val="004D7D65"/>
    <w:rsid w:val="004E3EDA"/>
    <w:rsid w:val="004F7BB3"/>
    <w:rsid w:val="005122BD"/>
    <w:rsid w:val="005200BE"/>
    <w:rsid w:val="00591345"/>
    <w:rsid w:val="005B431C"/>
    <w:rsid w:val="005D2288"/>
    <w:rsid w:val="005E5048"/>
    <w:rsid w:val="006051F6"/>
    <w:rsid w:val="00657EE7"/>
    <w:rsid w:val="0068036B"/>
    <w:rsid w:val="0068036F"/>
    <w:rsid w:val="006A557F"/>
    <w:rsid w:val="006A6FFB"/>
    <w:rsid w:val="006C7C6E"/>
    <w:rsid w:val="006D7280"/>
    <w:rsid w:val="006D7C7D"/>
    <w:rsid w:val="00717907"/>
    <w:rsid w:val="00723570"/>
    <w:rsid w:val="00742025"/>
    <w:rsid w:val="00755DC9"/>
    <w:rsid w:val="007734FC"/>
    <w:rsid w:val="00781CEB"/>
    <w:rsid w:val="007B3FB3"/>
    <w:rsid w:val="007F0B18"/>
    <w:rsid w:val="00807BBE"/>
    <w:rsid w:val="008506B4"/>
    <w:rsid w:val="00864679"/>
    <w:rsid w:val="008A312D"/>
    <w:rsid w:val="008B5F52"/>
    <w:rsid w:val="008C527A"/>
    <w:rsid w:val="008D440E"/>
    <w:rsid w:val="00915664"/>
    <w:rsid w:val="00925327"/>
    <w:rsid w:val="00935319"/>
    <w:rsid w:val="0094792C"/>
    <w:rsid w:val="00961A39"/>
    <w:rsid w:val="00970E4B"/>
    <w:rsid w:val="00981271"/>
    <w:rsid w:val="00982B24"/>
    <w:rsid w:val="00991F8E"/>
    <w:rsid w:val="009A5F04"/>
    <w:rsid w:val="009C07C4"/>
    <w:rsid w:val="009C3F56"/>
    <w:rsid w:val="009D57B0"/>
    <w:rsid w:val="009E5EAA"/>
    <w:rsid w:val="00A1197B"/>
    <w:rsid w:val="00A57AD0"/>
    <w:rsid w:val="00A9083A"/>
    <w:rsid w:val="00AA0762"/>
    <w:rsid w:val="00B26311"/>
    <w:rsid w:val="00B37E1B"/>
    <w:rsid w:val="00B407AD"/>
    <w:rsid w:val="00B41D3D"/>
    <w:rsid w:val="00B61EEA"/>
    <w:rsid w:val="00B63121"/>
    <w:rsid w:val="00B82B18"/>
    <w:rsid w:val="00B83DFC"/>
    <w:rsid w:val="00B85144"/>
    <w:rsid w:val="00B85ADA"/>
    <w:rsid w:val="00B93611"/>
    <w:rsid w:val="00B96981"/>
    <w:rsid w:val="00BB76A5"/>
    <w:rsid w:val="00C0548F"/>
    <w:rsid w:val="00C1065F"/>
    <w:rsid w:val="00C470C9"/>
    <w:rsid w:val="00C57EA4"/>
    <w:rsid w:val="00C60305"/>
    <w:rsid w:val="00C6033E"/>
    <w:rsid w:val="00C63AC6"/>
    <w:rsid w:val="00C64C70"/>
    <w:rsid w:val="00C855E3"/>
    <w:rsid w:val="00C90547"/>
    <w:rsid w:val="00CD06C0"/>
    <w:rsid w:val="00CD44B8"/>
    <w:rsid w:val="00CE2F44"/>
    <w:rsid w:val="00D31611"/>
    <w:rsid w:val="00D341A7"/>
    <w:rsid w:val="00D37DB9"/>
    <w:rsid w:val="00D37E0B"/>
    <w:rsid w:val="00D4175D"/>
    <w:rsid w:val="00D4414E"/>
    <w:rsid w:val="00D55125"/>
    <w:rsid w:val="00D86936"/>
    <w:rsid w:val="00D86D5E"/>
    <w:rsid w:val="00DA534E"/>
    <w:rsid w:val="00DC401C"/>
    <w:rsid w:val="00DE0784"/>
    <w:rsid w:val="00DE22E7"/>
    <w:rsid w:val="00E13BB1"/>
    <w:rsid w:val="00E251A9"/>
    <w:rsid w:val="00E36F4B"/>
    <w:rsid w:val="00E379CF"/>
    <w:rsid w:val="00E50362"/>
    <w:rsid w:val="00E5064C"/>
    <w:rsid w:val="00E65D0C"/>
    <w:rsid w:val="00EC225A"/>
    <w:rsid w:val="00ED21EE"/>
    <w:rsid w:val="00F16C37"/>
    <w:rsid w:val="00F21AD4"/>
    <w:rsid w:val="00F269CF"/>
    <w:rsid w:val="00F37319"/>
    <w:rsid w:val="00F45FBD"/>
    <w:rsid w:val="00FA7B83"/>
    <w:rsid w:val="00FC5245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D410"/>
  <w15:chartTrackingRefBased/>
  <w15:docId w15:val="{C4DF4FDA-7373-4FF0-9642-5BA37096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A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F5A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A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doc-para-bold">
    <w:name w:val="c-doc-para-bold"/>
    <w:basedOn w:val="DefaultParagraphFont"/>
    <w:rsid w:val="002B73AC"/>
  </w:style>
  <w:style w:type="character" w:customStyle="1" w:styleId="c-doc-para-italic">
    <w:name w:val="c-doc-para-italic"/>
    <w:basedOn w:val="DefaultParagraphFont"/>
    <w:rsid w:val="002B73AC"/>
  </w:style>
  <w:style w:type="character" w:styleId="Strong">
    <w:name w:val="Strong"/>
    <w:basedOn w:val="DefaultParagraphFont"/>
    <w:uiPriority w:val="22"/>
    <w:qFormat/>
    <w:rsid w:val="00E251A9"/>
    <w:rPr>
      <w:b/>
      <w:bCs/>
    </w:rPr>
  </w:style>
  <w:style w:type="character" w:styleId="Emphasis">
    <w:name w:val="Emphasis"/>
    <w:basedOn w:val="DefaultParagraphFont"/>
    <w:uiPriority w:val="20"/>
    <w:qFormat/>
    <w:rsid w:val="001C0E23"/>
    <w:rPr>
      <w:i/>
      <w:iCs/>
    </w:rPr>
  </w:style>
  <w:style w:type="character" w:styleId="Hyperlink">
    <w:name w:val="Hyperlink"/>
    <w:basedOn w:val="DefaultParagraphFont"/>
    <w:uiPriority w:val="99"/>
    <w:unhideWhenUsed/>
    <w:rsid w:val="008A3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1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5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Props1.xml><?xml version="1.0" encoding="utf-8"?>
<ds:datastoreItem xmlns:ds="http://schemas.openxmlformats.org/officeDocument/2006/customXml" ds:itemID="{ADBA2340-09E3-472F-8887-45592A0B8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CD2E3-BF93-4C87-81A5-51FE0B0FF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3F3D38-38EF-4EA0-931C-F55C7F2203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Ambord, Teresa J. (TR Product)</cp:lastModifiedBy>
  <cp:revision>4</cp:revision>
  <dcterms:created xsi:type="dcterms:W3CDTF">2022-09-16T16:49:00Z</dcterms:created>
  <dcterms:modified xsi:type="dcterms:W3CDTF">2022-09-16T16:56:00Z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